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5A06"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hint="eastAsia" w:ascii="微软雅黑" w:hAnsi="微软雅黑" w:eastAsia="微软雅黑" w:cs="微软雅黑"/>
          <w:b/>
          <w:bCs/>
          <w:color w:val="E36C09" w:themeColor="accent6" w:themeShade="BF"/>
          <w:sz w:val="29"/>
          <w:szCs w:val="29"/>
          <w:lang w:val="en-US" w:eastAsia="zh-CN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56"/>
          <w:szCs w:val="56"/>
          <w:shd w:val="clear" w:color="auto" w:fill="FFFFFF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  <w:t>总有机碳分析仪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56"/>
          <w:szCs w:val="56"/>
          <w:shd w:val="clear" w:color="auto" w:fill="FFFFFF"/>
          <w:lang w:val="en-US" w:eastAsia="zh-CN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E36C09" w:themeColor="accent6" w:themeShade="BF"/>
          <w:sz w:val="48"/>
          <w:szCs w:val="48"/>
          <w:shd w:val="clear" w:color="auto" w:fill="FFFFFF"/>
          <w14:textFill>
            <w14:gradFill>
              <w14:gsLst>
                <w14:gs w14:pos="0">
                  <w14:srgbClr w14:val="FBE55E"/>
                </w14:gs>
                <w14:gs w14:pos="100000">
                  <w14:srgbClr w14:val="EA3F32"/>
                </w14:gs>
              </w14:gsLst>
              <w14:lin w14:ang="8820000" w14:scaled="1"/>
            </w14:gradFill>
          </w14:textFill>
        </w:rPr>
        <w:t>SR-TOC-01A</w:t>
      </w:r>
    </w:p>
    <w:p w14:paraId="76EA02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该产品满足2020年颁布的《药典》要求,实现仪器权限管理、审计追踪、电子签名和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选配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数据库。 </w:t>
      </w:r>
    </w:p>
    <w:p w14:paraId="77BA25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3345815" cy="2661920"/>
            <wp:effectExtent l="0" t="0" r="6985" b="5080"/>
            <wp:docPr id="2" name="图片 2" descr="微信图片_2024052809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8090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98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</w:p>
    <w:p w14:paraId="05C911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一、产品介绍</w:t>
      </w:r>
    </w:p>
    <w:p w14:paraId="6180AA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SR-TOC-01A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有机碳分析仪是公司自主研发的高精度总有机碳分析仪器。产品使用电导率差值检测技术，检测精度高，响应时间短。产品符合国家法规和标准，可满足制药用水、注射用水、超纯水和去离子水的离线的检测要求。</w:t>
      </w:r>
    </w:p>
    <w:p w14:paraId="5501A3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二、产品特点</w:t>
      </w:r>
    </w:p>
    <w:p w14:paraId="4C8E54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1.针对制药用水和电子用水总有机碳含量的检测设计，进行检测； </w:t>
      </w:r>
    </w:p>
    <w:p w14:paraId="2B40C4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2.仪器采用便携设计，使用轻便，方便移动至取样点； </w:t>
      </w:r>
    </w:p>
    <w:p w14:paraId="5AF769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3.采用嵌入式系统，触摸屏设计，纯中文操作方便简易；</w:t>
      </w:r>
    </w:p>
    <w:p w14:paraId="5AD677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4.配备大量的储存空间，能够存储大量的测试数据；</w:t>
      </w:r>
    </w:p>
    <w:p w14:paraId="4AE918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5.中文打印，输出测试参数、测试结果；</w:t>
      </w:r>
    </w:p>
    <w:p w14:paraId="767CE2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6.在使用、贮存和更换过程中不需要气体或试剂，无移动部件，减少维修和维护成本；</w:t>
      </w:r>
    </w:p>
    <w:p w14:paraId="3362BB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7.当测试样品浓度超过规定限度，仪器能够自动报警，并输出控制信号；</w:t>
      </w:r>
    </w:p>
    <w:p w14:paraId="4B70E1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8.符合国家2020版《中国药典》规定的测试方案，可以提供 IQ/OQ/PQ 服务。 </w:t>
      </w:r>
    </w:p>
    <w:p w14:paraId="017DC5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三、性能规格</w:t>
      </w:r>
    </w:p>
    <w:p w14:paraId="26CB24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测量范围：0.001mg/L～1.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00 mg/L</w:t>
      </w:r>
    </w:p>
    <w:p w14:paraId="3CD954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精 度：±4% 测试范围</w:t>
      </w:r>
    </w:p>
    <w:p w14:paraId="56CC6F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 辨 率：0.001mg /L</w:t>
      </w:r>
    </w:p>
    <w:p w14:paraId="1BE4F2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分析时间：单次检测3分钟</w:t>
      </w:r>
    </w:p>
    <w:p w14:paraId="518FD4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样品温度：1～70℃</w:t>
      </w:r>
    </w:p>
    <w:p w14:paraId="27D298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重复性误差：≤ 3%</w:t>
      </w:r>
    </w:p>
    <w:p w14:paraId="451F6F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电源要求/功能：220V</w:t>
      </w:r>
    </w:p>
    <w:p w14:paraId="506C49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显 示 屏：彩色触摸屏 </w:t>
      </w:r>
    </w:p>
    <w:p w14:paraId="530B3C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四、应用领域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2541E8B5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327F1A5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1、生物制药</w:t>
      </w:r>
    </w:p>
    <w:p w14:paraId="55DFB34F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广泛应用于制药用水、纯化水、注射用水的离线监测和实验室测试，以及清洁验证。</w:t>
      </w:r>
    </w:p>
    <w:p w14:paraId="56F320C4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制药行业及医疗器械生产</w:t>
      </w:r>
    </w:p>
    <w:p w14:paraId="12E47DCD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广泛应用于药品实验室，医疗器械生产企业。</w:t>
      </w:r>
    </w:p>
    <w:p w14:paraId="6D7E61A5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电子行业</w:t>
      </w:r>
    </w:p>
    <w:p w14:paraId="1548F19E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广泛应用于晶体管、集成电路和LCD研发与生产用水检测，电厂锅炉用水检测。</w:t>
      </w:r>
    </w:p>
    <w:p w14:paraId="7FECE230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食品饮料行业</w:t>
      </w:r>
    </w:p>
    <w:p w14:paraId="652B3BD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广泛应用于食品用水检测</w:t>
      </w:r>
    </w:p>
    <w:p w14:paraId="0AA29287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7C442BE3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77113925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</w:t>
      </w:r>
    </w:p>
    <w:p w14:paraId="735D6DAA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6414DA0C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50617603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24F4192E">
      <w:p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</w:p>
    <w:p w14:paraId="4A354022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45FF1B9E">
      <w:pPr>
        <w:bidi w:val="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4845E0D9">
      <w:pPr>
        <w:bidi w:val="0"/>
        <w:rPr>
          <w:rFonts w:hint="eastAsia" w:ascii="微软雅黑" w:hAnsi="微软雅黑" w:eastAsia="微软雅黑" w:cs="微软雅黑"/>
          <w:lang w:eastAsia="zh-CN"/>
        </w:rPr>
      </w:pPr>
    </w:p>
    <w:p w14:paraId="1DF2A965">
      <w:pPr>
        <w:tabs>
          <w:tab w:val="left" w:pos="2856"/>
        </w:tabs>
        <w:bidi w:val="0"/>
        <w:jc w:val="left"/>
        <w:rPr>
          <w:rFonts w:hint="eastAsia" w:ascii="微软雅黑" w:hAnsi="微软雅黑" w:eastAsia="微软雅黑" w:cs="微软雅黑"/>
          <w:lang w:eastAsia="zh-CN"/>
        </w:rPr>
      </w:pPr>
    </w:p>
    <w:p w14:paraId="1DB82CC5">
      <w:pPr>
        <w:tabs>
          <w:tab w:val="left" w:pos="3606"/>
        </w:tabs>
        <w:bidi w:val="0"/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D1431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9705" cy="629920"/>
          <wp:effectExtent l="0" t="0" r="0" b="17780"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7DC68"/>
    <w:multiLevelType w:val="singleLevel"/>
    <w:tmpl w:val="8847DC6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RmNDliNzhiMTkwYmM3Mjg2ZmUwYzJiZjcyODYifQ=="/>
    <w:docVar w:name="KSO_WPS_MARK_KEY" w:val="b882d244-01ab-4fd8-840e-25e5ceddaf73"/>
  </w:docVars>
  <w:rsids>
    <w:rsidRoot w:val="005B47FE"/>
    <w:rsid w:val="00346F21"/>
    <w:rsid w:val="005B47FE"/>
    <w:rsid w:val="006A614B"/>
    <w:rsid w:val="03264CA2"/>
    <w:rsid w:val="07C80DEE"/>
    <w:rsid w:val="156D7A55"/>
    <w:rsid w:val="175B11C2"/>
    <w:rsid w:val="19DE635C"/>
    <w:rsid w:val="233A5548"/>
    <w:rsid w:val="2FE31946"/>
    <w:rsid w:val="310077C1"/>
    <w:rsid w:val="31E06CBE"/>
    <w:rsid w:val="380D6DB4"/>
    <w:rsid w:val="3CE04016"/>
    <w:rsid w:val="3E4C16F0"/>
    <w:rsid w:val="42E3216A"/>
    <w:rsid w:val="447B3E1E"/>
    <w:rsid w:val="481132D5"/>
    <w:rsid w:val="48531B40"/>
    <w:rsid w:val="6D0F3A42"/>
    <w:rsid w:val="710E71C6"/>
    <w:rsid w:val="71C723F5"/>
    <w:rsid w:val="743C6604"/>
    <w:rsid w:val="7B9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654</Characters>
  <Lines>4</Lines>
  <Paragraphs>1</Paragraphs>
  <TotalTime>6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2022-04-07T01:51:00Z</dcterms:created>
  <dc:creator>张巨鼠</dc:creator>
  <cp:lastModifiedBy>WPS_1609226046</cp:lastModifiedBy>
  <dcterms:modified xsi:type="dcterms:W3CDTF">2025-02-07T02:04:15Z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F2D9C6292B934A59BB919F52013A99A5_13</vt:lpwstr>
  </property>
  <property fmtid="{D5CDD505-2E9C-101B-9397-08002B2CF9AE}" pid="4" name="KSOTemplateDocerSaveRecord">
    <vt:lpwstr>eyJoZGlkIjoiMjZkOGRmNDliNzhiMTkwYmM3Mjg2ZmUwYzJiZjcyODYiLCJ1c2VySWQiOiIxMTU1NDIwOTA1In0=</vt:lpwstr>
  </property>
</Properties>
</file>